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5A5" w:rsidRPr="005465A5" w:rsidRDefault="00B440B5" w:rsidP="005465A5">
      <w:pPr>
        <w:spacing w:after="0" w:line="240" w:lineRule="auto"/>
        <w:jc w:val="center"/>
        <w:rPr>
          <w:rFonts w:ascii="Times New Roman" w:eastAsia="Times New Roman" w:hAnsi="Times New Roman" w:cs="Times New Roman"/>
          <w:b/>
          <w:color w:val="030303"/>
          <w:w w:val="105"/>
          <w:sz w:val="24"/>
          <w:szCs w:val="24"/>
        </w:rPr>
      </w:pPr>
      <w:r w:rsidRPr="005465A5">
        <w:rPr>
          <w:rFonts w:ascii="Times New Roman" w:eastAsia="Times New Roman" w:hAnsi="Times New Roman" w:cs="Times New Roman"/>
          <w:b/>
          <w:color w:val="030303"/>
          <w:w w:val="118"/>
          <w:sz w:val="24"/>
          <w:szCs w:val="24"/>
        </w:rPr>
        <w:t>Statement</w:t>
      </w:r>
      <w:r w:rsidRPr="005465A5">
        <w:rPr>
          <w:rFonts w:ascii="Times New Roman" w:eastAsia="Times New Roman" w:hAnsi="Times New Roman" w:cs="Times New Roman"/>
          <w:b/>
          <w:color w:val="030303"/>
          <w:spacing w:val="-8"/>
          <w:w w:val="118"/>
          <w:sz w:val="24"/>
          <w:szCs w:val="24"/>
        </w:rPr>
        <w:t xml:space="preserve"> </w:t>
      </w:r>
      <w:r w:rsidRPr="005465A5">
        <w:rPr>
          <w:rFonts w:ascii="Times New Roman" w:eastAsia="Times New Roman" w:hAnsi="Times New Roman" w:cs="Times New Roman"/>
          <w:b/>
          <w:color w:val="030303"/>
          <w:sz w:val="24"/>
          <w:szCs w:val="24"/>
        </w:rPr>
        <w:t>of</w:t>
      </w:r>
      <w:r w:rsidRPr="005465A5">
        <w:rPr>
          <w:rFonts w:ascii="Times New Roman" w:eastAsia="Times New Roman" w:hAnsi="Times New Roman" w:cs="Times New Roman"/>
          <w:b/>
          <w:color w:val="030303"/>
          <w:spacing w:val="25"/>
          <w:sz w:val="24"/>
          <w:szCs w:val="24"/>
        </w:rPr>
        <w:t xml:space="preserve"> </w:t>
      </w:r>
      <w:r w:rsidRPr="005465A5">
        <w:rPr>
          <w:rFonts w:ascii="Times New Roman" w:eastAsia="Times New Roman" w:hAnsi="Times New Roman" w:cs="Times New Roman"/>
          <w:b/>
          <w:color w:val="030303"/>
          <w:w w:val="115"/>
          <w:sz w:val="24"/>
          <w:szCs w:val="24"/>
        </w:rPr>
        <w:t>Reasons</w:t>
      </w:r>
      <w:r w:rsidR="005465A5" w:rsidRPr="005465A5">
        <w:rPr>
          <w:rFonts w:ascii="Times New Roman" w:eastAsia="Times New Roman" w:hAnsi="Times New Roman" w:cs="Times New Roman"/>
          <w:b/>
          <w:color w:val="030303"/>
          <w:w w:val="115"/>
          <w:sz w:val="24"/>
          <w:szCs w:val="24"/>
        </w:rPr>
        <w:t xml:space="preserve"> </w:t>
      </w:r>
      <w:r w:rsidRPr="005465A5">
        <w:rPr>
          <w:rFonts w:ascii="Times New Roman" w:eastAsia="Times New Roman" w:hAnsi="Times New Roman" w:cs="Times New Roman"/>
          <w:b/>
          <w:color w:val="030303"/>
          <w:sz w:val="24"/>
          <w:szCs w:val="24"/>
        </w:rPr>
        <w:t xml:space="preserve">for </w:t>
      </w:r>
      <w:r w:rsidR="00C61F1F">
        <w:rPr>
          <w:rFonts w:ascii="Times New Roman" w:eastAsia="Times New Roman" w:hAnsi="Times New Roman" w:cs="Times New Roman"/>
          <w:b/>
          <w:color w:val="030303"/>
          <w:sz w:val="24"/>
          <w:szCs w:val="24"/>
        </w:rPr>
        <w:t>Amendment</w:t>
      </w:r>
      <w:r w:rsidR="005465A5" w:rsidRPr="005465A5">
        <w:rPr>
          <w:rFonts w:ascii="Times New Roman" w:eastAsia="Times New Roman" w:hAnsi="Times New Roman" w:cs="Times New Roman"/>
          <w:b/>
          <w:color w:val="030303"/>
          <w:w w:val="114"/>
          <w:sz w:val="24"/>
          <w:szCs w:val="24"/>
        </w:rPr>
        <w:t xml:space="preserve"> </w:t>
      </w:r>
      <w:r w:rsidRPr="005465A5">
        <w:rPr>
          <w:rFonts w:ascii="Times New Roman" w:eastAsia="Times New Roman" w:hAnsi="Times New Roman" w:cs="Times New Roman"/>
          <w:b/>
          <w:color w:val="030303"/>
          <w:w w:val="105"/>
          <w:sz w:val="24"/>
          <w:szCs w:val="24"/>
        </w:rPr>
        <w:t>of</w:t>
      </w:r>
    </w:p>
    <w:p w:rsidR="00B54A5E" w:rsidRPr="005465A5" w:rsidRDefault="00B440B5" w:rsidP="005465A5">
      <w:pPr>
        <w:spacing w:after="0" w:line="240" w:lineRule="auto"/>
        <w:jc w:val="center"/>
        <w:rPr>
          <w:rFonts w:ascii="Times New Roman" w:eastAsia="Times New Roman" w:hAnsi="Times New Roman" w:cs="Times New Roman"/>
          <w:sz w:val="24"/>
          <w:szCs w:val="24"/>
        </w:rPr>
      </w:pPr>
      <w:r w:rsidRPr="005465A5">
        <w:rPr>
          <w:rFonts w:ascii="Times New Roman" w:eastAsia="Times New Roman" w:hAnsi="Times New Roman" w:cs="Times New Roman"/>
          <w:b/>
          <w:color w:val="030303"/>
          <w:sz w:val="24"/>
          <w:szCs w:val="24"/>
        </w:rPr>
        <w:t>Title</w:t>
      </w:r>
      <w:r w:rsidRPr="005465A5">
        <w:rPr>
          <w:rFonts w:ascii="Times New Roman" w:eastAsia="Times New Roman" w:hAnsi="Times New Roman" w:cs="Times New Roman"/>
          <w:b/>
          <w:color w:val="030303"/>
          <w:spacing w:val="20"/>
          <w:sz w:val="24"/>
          <w:szCs w:val="24"/>
        </w:rPr>
        <w:t xml:space="preserve"> </w:t>
      </w:r>
      <w:r w:rsidRPr="005465A5">
        <w:rPr>
          <w:rFonts w:ascii="Times New Roman" w:eastAsia="Times New Roman" w:hAnsi="Times New Roman" w:cs="Times New Roman"/>
          <w:b/>
          <w:color w:val="030303"/>
          <w:sz w:val="24"/>
          <w:szCs w:val="24"/>
        </w:rPr>
        <w:t>5,</w:t>
      </w:r>
      <w:r w:rsidRPr="005465A5">
        <w:rPr>
          <w:rFonts w:ascii="Times New Roman" w:eastAsia="Times New Roman" w:hAnsi="Times New Roman" w:cs="Times New Roman"/>
          <w:b/>
          <w:color w:val="030303"/>
          <w:spacing w:val="-3"/>
          <w:sz w:val="24"/>
          <w:szCs w:val="24"/>
        </w:rPr>
        <w:t xml:space="preserve"> </w:t>
      </w:r>
      <w:r w:rsidRPr="005465A5">
        <w:rPr>
          <w:rFonts w:ascii="Times New Roman" w:eastAsia="Times New Roman" w:hAnsi="Times New Roman" w:cs="Times New Roman"/>
          <w:b/>
          <w:color w:val="030303"/>
          <w:sz w:val="24"/>
          <w:szCs w:val="24"/>
        </w:rPr>
        <w:t>California</w:t>
      </w:r>
      <w:r w:rsidRPr="005465A5">
        <w:rPr>
          <w:rFonts w:ascii="Times New Roman" w:eastAsia="Times New Roman" w:hAnsi="Times New Roman" w:cs="Times New Roman"/>
          <w:b/>
          <w:color w:val="030303"/>
          <w:spacing w:val="37"/>
          <w:sz w:val="24"/>
          <w:szCs w:val="24"/>
        </w:rPr>
        <w:t xml:space="preserve"> </w:t>
      </w:r>
      <w:r w:rsidRPr="005465A5">
        <w:rPr>
          <w:rFonts w:ascii="Times New Roman" w:eastAsia="Times New Roman" w:hAnsi="Times New Roman" w:cs="Times New Roman"/>
          <w:b/>
          <w:color w:val="030303"/>
          <w:sz w:val="24"/>
          <w:szCs w:val="24"/>
        </w:rPr>
        <w:t>Code</w:t>
      </w:r>
      <w:r w:rsidRPr="005465A5">
        <w:rPr>
          <w:rFonts w:ascii="Times New Roman" w:eastAsia="Times New Roman" w:hAnsi="Times New Roman" w:cs="Times New Roman"/>
          <w:b/>
          <w:color w:val="030303"/>
          <w:spacing w:val="30"/>
          <w:sz w:val="24"/>
          <w:szCs w:val="24"/>
        </w:rPr>
        <w:t xml:space="preserve"> </w:t>
      </w:r>
      <w:r w:rsidRPr="005465A5">
        <w:rPr>
          <w:rFonts w:ascii="Times New Roman" w:eastAsia="Times New Roman" w:hAnsi="Times New Roman" w:cs="Times New Roman"/>
          <w:b/>
          <w:color w:val="030303"/>
          <w:sz w:val="24"/>
          <w:szCs w:val="24"/>
        </w:rPr>
        <w:t>of</w:t>
      </w:r>
      <w:r w:rsidRPr="005465A5">
        <w:rPr>
          <w:rFonts w:ascii="Times New Roman" w:eastAsia="Times New Roman" w:hAnsi="Times New Roman" w:cs="Times New Roman"/>
          <w:b/>
          <w:color w:val="030303"/>
          <w:spacing w:val="17"/>
          <w:sz w:val="24"/>
          <w:szCs w:val="24"/>
        </w:rPr>
        <w:t xml:space="preserve"> </w:t>
      </w:r>
      <w:r w:rsidRPr="005465A5">
        <w:rPr>
          <w:rFonts w:ascii="Times New Roman" w:eastAsia="Times New Roman" w:hAnsi="Times New Roman" w:cs="Times New Roman"/>
          <w:b/>
          <w:color w:val="030303"/>
          <w:sz w:val="24"/>
          <w:szCs w:val="24"/>
        </w:rPr>
        <w:t>Regulations,</w:t>
      </w:r>
      <w:r w:rsidRPr="005465A5">
        <w:rPr>
          <w:rFonts w:ascii="Times New Roman" w:eastAsia="Times New Roman" w:hAnsi="Times New Roman" w:cs="Times New Roman"/>
          <w:b/>
          <w:color w:val="030303"/>
          <w:spacing w:val="31"/>
          <w:sz w:val="24"/>
          <w:szCs w:val="24"/>
        </w:rPr>
        <w:t xml:space="preserve"> </w:t>
      </w:r>
      <w:r w:rsidRPr="005465A5">
        <w:rPr>
          <w:rFonts w:ascii="Times New Roman" w:eastAsia="Times New Roman" w:hAnsi="Times New Roman" w:cs="Times New Roman"/>
          <w:b/>
          <w:color w:val="030303"/>
          <w:sz w:val="24"/>
          <w:szCs w:val="24"/>
        </w:rPr>
        <w:t>Section</w:t>
      </w:r>
      <w:r w:rsidR="00C61F1F">
        <w:rPr>
          <w:rFonts w:ascii="Times New Roman" w:eastAsia="Times New Roman" w:hAnsi="Times New Roman" w:cs="Times New Roman"/>
          <w:b/>
          <w:color w:val="030303"/>
          <w:sz w:val="24"/>
          <w:szCs w:val="24"/>
        </w:rPr>
        <w:t>s</w:t>
      </w:r>
      <w:r w:rsidRPr="005465A5">
        <w:rPr>
          <w:rFonts w:ascii="Times New Roman" w:eastAsia="Times New Roman" w:hAnsi="Times New Roman" w:cs="Times New Roman"/>
          <w:b/>
          <w:color w:val="030303"/>
          <w:spacing w:val="28"/>
          <w:sz w:val="24"/>
          <w:szCs w:val="24"/>
        </w:rPr>
        <w:t xml:space="preserve"> </w:t>
      </w:r>
      <w:r w:rsidR="005465A5" w:rsidRPr="005465A5">
        <w:rPr>
          <w:rFonts w:ascii="Times New Roman" w:eastAsia="Times New Roman" w:hAnsi="Times New Roman" w:cs="Times New Roman"/>
          <w:b/>
          <w:color w:val="030303"/>
          <w:spacing w:val="28"/>
          <w:sz w:val="24"/>
          <w:szCs w:val="24"/>
        </w:rPr>
        <w:t>4</w:t>
      </w:r>
      <w:r w:rsidR="00C61F1F">
        <w:rPr>
          <w:rFonts w:ascii="Times New Roman" w:eastAsia="Times New Roman" w:hAnsi="Times New Roman" w:cs="Times New Roman"/>
          <w:b/>
          <w:color w:val="030303"/>
          <w:spacing w:val="28"/>
          <w:sz w:val="24"/>
          <w:szCs w:val="24"/>
        </w:rPr>
        <w:t>1906.5 and 41906.6</w:t>
      </w:r>
    </w:p>
    <w:p w:rsidR="00B54A5E" w:rsidRPr="00BF1593" w:rsidRDefault="00B54A5E" w:rsidP="005465A5">
      <w:pPr>
        <w:spacing w:after="0" w:line="240" w:lineRule="auto"/>
        <w:jc w:val="center"/>
        <w:rPr>
          <w:rFonts w:ascii="Times New Roman" w:hAnsi="Times New Roman" w:cs="Times New Roman"/>
          <w:sz w:val="24"/>
          <w:szCs w:val="24"/>
        </w:rPr>
      </w:pPr>
    </w:p>
    <w:p w:rsidR="005465A5" w:rsidRPr="00BF1593" w:rsidRDefault="005465A5" w:rsidP="00BF1593">
      <w:pPr>
        <w:spacing w:after="0" w:line="240" w:lineRule="auto"/>
        <w:rPr>
          <w:rFonts w:ascii="Times New Roman" w:hAnsi="Times New Roman" w:cs="Times New Roman"/>
          <w:sz w:val="24"/>
          <w:szCs w:val="24"/>
        </w:rPr>
      </w:pPr>
    </w:p>
    <w:p w:rsidR="00507AB1" w:rsidRPr="00507AB1" w:rsidRDefault="00507AB1" w:rsidP="00507AB1">
      <w:pPr>
        <w:widowControl/>
        <w:spacing w:after="0" w:line="240" w:lineRule="auto"/>
        <w:rPr>
          <w:rFonts w:ascii="Times New Roman" w:eastAsia="Calibri" w:hAnsi="Times New Roman" w:cs="Times New Roman"/>
          <w:color w:val="000000"/>
          <w:sz w:val="24"/>
          <w:szCs w:val="24"/>
        </w:rPr>
      </w:pPr>
      <w:bookmarkStart w:id="0" w:name="_GoBack"/>
      <w:bookmarkEnd w:id="0"/>
      <w:r w:rsidRPr="00507AB1">
        <w:rPr>
          <w:rFonts w:ascii="Times New Roman" w:eastAsia="Times New Roman" w:hAnsi="Times New Roman" w:cs="Times New Roman"/>
          <w:sz w:val="24"/>
          <w:szCs w:val="24"/>
        </w:rPr>
        <w:t>Existing law and regulation exempt an individual—other than current nonimmigrant visa holders—from paying nonresident tuition at the CSU if that person:</w:t>
      </w:r>
    </w:p>
    <w:p w:rsidR="00507AB1" w:rsidRPr="00507AB1" w:rsidRDefault="00507AB1" w:rsidP="00507AB1">
      <w:pPr>
        <w:widowControl/>
        <w:autoSpaceDE w:val="0"/>
        <w:autoSpaceDN w:val="0"/>
        <w:adjustRightInd w:val="0"/>
        <w:spacing w:after="0" w:line="240" w:lineRule="auto"/>
        <w:jc w:val="both"/>
        <w:rPr>
          <w:rFonts w:ascii="Times New Roman" w:eastAsia="Calibri" w:hAnsi="Times New Roman" w:cs="Times New Roman"/>
          <w:color w:val="000000"/>
          <w:sz w:val="24"/>
          <w:szCs w:val="24"/>
        </w:rPr>
      </w:pPr>
    </w:p>
    <w:p w:rsidR="00507AB1" w:rsidRPr="00507AB1" w:rsidRDefault="00507AB1" w:rsidP="00507AB1">
      <w:pPr>
        <w:widowControl/>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07AB1">
        <w:rPr>
          <w:rFonts w:ascii="Times New Roman" w:eastAsia="Calibri" w:hAnsi="Times New Roman" w:cs="Times New Roman"/>
          <w:color w:val="000000"/>
          <w:sz w:val="24"/>
          <w:szCs w:val="24"/>
        </w:rPr>
        <w:t>Attended high school in California for three or more years, or attended elementary and/or secondary schools in California for three or more years and attained academic credits from California high schools equivalent to three or more years of full-time coursework;</w:t>
      </w:r>
    </w:p>
    <w:p w:rsidR="00507AB1" w:rsidRPr="00507AB1" w:rsidRDefault="00507AB1" w:rsidP="00507AB1">
      <w:pPr>
        <w:widowControl/>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07AB1">
        <w:rPr>
          <w:rFonts w:ascii="Times New Roman" w:eastAsia="Calibri" w:hAnsi="Times New Roman" w:cs="Times New Roman"/>
          <w:color w:val="000000"/>
          <w:sz w:val="24"/>
          <w:szCs w:val="24"/>
        </w:rPr>
        <w:t>Graduated from a California high school or attained its equivalent;</w:t>
      </w:r>
    </w:p>
    <w:p w:rsidR="00507AB1" w:rsidRPr="00507AB1" w:rsidRDefault="00507AB1" w:rsidP="00507AB1">
      <w:pPr>
        <w:widowControl/>
        <w:numPr>
          <w:ilvl w:val="0"/>
          <w:numId w:val="2"/>
        </w:numPr>
        <w:autoSpaceDE w:val="0"/>
        <w:autoSpaceDN w:val="0"/>
        <w:adjustRightInd w:val="0"/>
        <w:spacing w:after="0" w:line="240" w:lineRule="auto"/>
        <w:jc w:val="both"/>
        <w:rPr>
          <w:rFonts w:ascii="Times New Roman" w:eastAsia="Calibri" w:hAnsi="Times New Roman" w:cs="Times New Roman"/>
          <w:color w:val="000000"/>
          <w:sz w:val="20"/>
          <w:szCs w:val="20"/>
        </w:rPr>
      </w:pPr>
      <w:r w:rsidRPr="00507AB1">
        <w:rPr>
          <w:rFonts w:ascii="Times New Roman" w:eastAsia="Calibri" w:hAnsi="Times New Roman" w:cs="Times New Roman"/>
          <w:color w:val="000000"/>
          <w:sz w:val="24"/>
          <w:szCs w:val="24"/>
        </w:rPr>
        <w:t>Registered at, or attends, an accredited institution of higher education in California; and</w:t>
      </w:r>
    </w:p>
    <w:p w:rsidR="00507AB1" w:rsidRPr="00507AB1" w:rsidRDefault="00507AB1" w:rsidP="00507AB1">
      <w:pPr>
        <w:widowControl/>
        <w:numPr>
          <w:ilvl w:val="0"/>
          <w:numId w:val="2"/>
        </w:numPr>
        <w:autoSpaceDE w:val="0"/>
        <w:autoSpaceDN w:val="0"/>
        <w:adjustRightInd w:val="0"/>
        <w:spacing w:after="0" w:line="240" w:lineRule="auto"/>
        <w:jc w:val="both"/>
        <w:rPr>
          <w:rFonts w:ascii="Times New Roman" w:eastAsia="Calibri" w:hAnsi="Times New Roman" w:cs="Times New Roman"/>
          <w:color w:val="000000"/>
          <w:sz w:val="20"/>
          <w:szCs w:val="20"/>
        </w:rPr>
      </w:pPr>
      <w:r w:rsidRPr="00507AB1">
        <w:rPr>
          <w:rFonts w:ascii="Times New Roman" w:eastAsia="Calibri" w:hAnsi="Times New Roman" w:cs="Times New Roman"/>
          <w:color w:val="000000"/>
          <w:sz w:val="24"/>
          <w:szCs w:val="24"/>
        </w:rPr>
        <w:t>Filed a California Nonresident Tuition Exemption Request and affidavit.</w:t>
      </w:r>
    </w:p>
    <w:p w:rsidR="00507AB1" w:rsidRPr="00507AB1" w:rsidRDefault="00507AB1" w:rsidP="00507AB1">
      <w:pPr>
        <w:widowControl/>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rsidR="00507AB1" w:rsidRPr="00507AB1" w:rsidRDefault="00507AB1" w:rsidP="00507AB1">
      <w:pPr>
        <w:widowControl/>
        <w:spacing w:after="0" w:line="240" w:lineRule="auto"/>
        <w:rPr>
          <w:rFonts w:ascii="Times New Roman" w:eastAsia="Times New Roman" w:hAnsi="Times New Roman" w:cs="Times New Roman"/>
          <w:sz w:val="24"/>
          <w:szCs w:val="24"/>
        </w:rPr>
      </w:pPr>
      <w:r w:rsidRPr="00507AB1">
        <w:rPr>
          <w:rFonts w:ascii="Times New Roman" w:eastAsia="Times New Roman" w:hAnsi="Times New Roman" w:cs="Times New Roman"/>
          <w:sz w:val="24"/>
          <w:szCs w:val="24"/>
        </w:rPr>
        <w:t xml:space="preserve">On January 1, 2018, Senate Bill 68, </w:t>
      </w:r>
      <w:r w:rsidRPr="00507AB1">
        <w:rPr>
          <w:rFonts w:ascii="Times New Roman" w:eastAsia="Times New Roman" w:hAnsi="Times New Roman" w:cs="Times New Roman"/>
          <w:i/>
          <w:sz w:val="24"/>
          <w:szCs w:val="24"/>
        </w:rPr>
        <w:t>Public postsecondary education: exemption from nonresident tuition</w:t>
      </w:r>
      <w:r w:rsidRPr="00507AB1">
        <w:rPr>
          <w:rFonts w:ascii="Times New Roman" w:eastAsia="Times New Roman" w:hAnsi="Times New Roman" w:cs="Times New Roman"/>
          <w:sz w:val="24"/>
          <w:szCs w:val="24"/>
        </w:rPr>
        <w:t xml:space="preserve">, went into effect. This legislation amends Section 68130.5 of the Education Code, relating to exemption from nonresident tuition. The amendment provides additional </w:t>
      </w:r>
      <w:r w:rsidR="00140340">
        <w:rPr>
          <w:rFonts w:ascii="Times New Roman" w:eastAsia="Times New Roman" w:hAnsi="Times New Roman" w:cs="Times New Roman"/>
          <w:sz w:val="24"/>
          <w:szCs w:val="24"/>
        </w:rPr>
        <w:t>options</w:t>
      </w:r>
      <w:r w:rsidRPr="00507AB1">
        <w:rPr>
          <w:rFonts w:ascii="Times New Roman" w:eastAsia="Times New Roman" w:hAnsi="Times New Roman" w:cs="Times New Roman"/>
          <w:sz w:val="24"/>
          <w:szCs w:val="24"/>
        </w:rPr>
        <w:t xml:space="preserve"> of meeting the attendance and graduation requirements by:</w:t>
      </w:r>
    </w:p>
    <w:p w:rsidR="00507AB1" w:rsidRPr="00507AB1" w:rsidRDefault="00507AB1" w:rsidP="00507AB1">
      <w:pPr>
        <w:widowControl/>
        <w:spacing w:after="0" w:line="240" w:lineRule="auto"/>
        <w:rPr>
          <w:rFonts w:ascii="Times New Roman" w:eastAsia="Times New Roman" w:hAnsi="Times New Roman" w:cs="Times New Roman"/>
          <w:sz w:val="24"/>
          <w:szCs w:val="24"/>
        </w:rPr>
      </w:pPr>
    </w:p>
    <w:p w:rsidR="00507AB1" w:rsidRPr="00507AB1" w:rsidRDefault="00507AB1" w:rsidP="00507AB1">
      <w:pPr>
        <w:widowControl/>
        <w:numPr>
          <w:ilvl w:val="0"/>
          <w:numId w:val="3"/>
        </w:numPr>
        <w:spacing w:after="0" w:line="240" w:lineRule="auto"/>
        <w:rPr>
          <w:rFonts w:ascii="Times New Roman" w:eastAsia="Times New Roman" w:hAnsi="Times New Roman" w:cs="Times New Roman"/>
          <w:sz w:val="24"/>
          <w:szCs w:val="24"/>
        </w:rPr>
      </w:pPr>
      <w:r w:rsidRPr="00507AB1">
        <w:rPr>
          <w:rFonts w:ascii="Times New Roman" w:eastAsia="Times New Roman" w:hAnsi="Times New Roman" w:cs="Times New Roman"/>
          <w:sz w:val="24"/>
          <w:szCs w:val="24"/>
        </w:rPr>
        <w:t>Allowing time spent at California adult schools and California community colleges to count toward the attendance requirement; and</w:t>
      </w:r>
    </w:p>
    <w:p w:rsidR="00507AB1" w:rsidRPr="00507AB1" w:rsidRDefault="00507AB1" w:rsidP="00507AB1">
      <w:pPr>
        <w:widowControl/>
        <w:numPr>
          <w:ilvl w:val="0"/>
          <w:numId w:val="3"/>
        </w:numPr>
        <w:spacing w:after="0" w:line="240" w:lineRule="auto"/>
        <w:rPr>
          <w:rFonts w:ascii="Times New Roman" w:eastAsia="Times New Roman" w:hAnsi="Times New Roman" w:cs="Times New Roman"/>
          <w:sz w:val="24"/>
          <w:szCs w:val="24"/>
        </w:rPr>
      </w:pPr>
      <w:r w:rsidRPr="00507AB1">
        <w:rPr>
          <w:rFonts w:ascii="Times New Roman" w:eastAsia="Times New Roman" w:hAnsi="Times New Roman" w:cs="Times New Roman"/>
          <w:sz w:val="24"/>
          <w:szCs w:val="24"/>
        </w:rPr>
        <w:t xml:space="preserve">Allowing the attainment of an associate degree or fulfillment of the minimum CSU transfer requirements from a California community college to count toward the graduation </w:t>
      </w:r>
      <w:proofErr w:type="gramStart"/>
      <w:r w:rsidRPr="00507AB1">
        <w:rPr>
          <w:rFonts w:ascii="Times New Roman" w:eastAsia="Times New Roman" w:hAnsi="Times New Roman" w:cs="Times New Roman"/>
          <w:sz w:val="24"/>
          <w:szCs w:val="24"/>
        </w:rPr>
        <w:t>requirement</w:t>
      </w:r>
      <w:proofErr w:type="gramEnd"/>
      <w:r w:rsidRPr="00507AB1">
        <w:rPr>
          <w:rFonts w:ascii="Times New Roman" w:eastAsia="Times New Roman" w:hAnsi="Times New Roman" w:cs="Times New Roman"/>
          <w:sz w:val="24"/>
          <w:szCs w:val="24"/>
        </w:rPr>
        <w:t xml:space="preserve">. </w:t>
      </w:r>
    </w:p>
    <w:p w:rsidR="00C61F1F" w:rsidRPr="00C61F1F" w:rsidRDefault="00C61F1F" w:rsidP="00C61F1F">
      <w:pPr>
        <w:spacing w:after="0" w:line="240" w:lineRule="auto"/>
        <w:rPr>
          <w:rFonts w:ascii="Times New Roman" w:hAnsi="Times New Roman" w:cs="Times New Roman"/>
          <w:sz w:val="24"/>
          <w:szCs w:val="24"/>
        </w:rPr>
      </w:pPr>
    </w:p>
    <w:p w:rsidR="001F39A3" w:rsidRDefault="00B7756F" w:rsidP="00C61F1F">
      <w:pPr>
        <w:spacing w:after="0" w:line="240" w:lineRule="auto"/>
        <w:rPr>
          <w:rFonts w:ascii="Times New Roman" w:hAnsi="Times New Roman" w:cs="Times New Roman"/>
          <w:sz w:val="24"/>
          <w:szCs w:val="24"/>
        </w:rPr>
      </w:pPr>
      <w:r w:rsidRPr="00B7756F">
        <w:rPr>
          <w:rFonts w:ascii="Times New Roman" w:hAnsi="Times New Roman" w:cs="Times New Roman"/>
          <w:sz w:val="24"/>
          <w:szCs w:val="24"/>
        </w:rPr>
        <w:t>The proposed Title 5 amendment would bring the CSU regulations into alignment with the amended Education Code section, provide necessary campus guidance and clarification, and remove language that restates, without clarifying, portions of the Education Code section.</w:t>
      </w:r>
    </w:p>
    <w:sectPr w:rsidR="001F39A3" w:rsidSect="00AF3456">
      <w:footerReference w:type="default" r:id="rId8"/>
      <w:pgSz w:w="12240" w:h="15840" w:code="1"/>
      <w:pgMar w:top="1382" w:right="1325" w:bottom="1944" w:left="1339" w:header="0" w:footer="17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A8A" w:rsidRDefault="00147A8A">
      <w:pPr>
        <w:spacing w:after="0" w:line="240" w:lineRule="auto"/>
      </w:pPr>
      <w:r>
        <w:separator/>
      </w:r>
    </w:p>
  </w:endnote>
  <w:endnote w:type="continuationSeparator" w:id="0">
    <w:p w:rsidR="00147A8A" w:rsidRDefault="0014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A5E" w:rsidRDefault="00B54A5E">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A8A" w:rsidRDefault="00147A8A">
      <w:pPr>
        <w:spacing w:after="0" w:line="240" w:lineRule="auto"/>
      </w:pPr>
      <w:r>
        <w:separator/>
      </w:r>
    </w:p>
  </w:footnote>
  <w:footnote w:type="continuationSeparator" w:id="0">
    <w:p w:rsidR="00147A8A" w:rsidRDefault="00147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2442D"/>
    <w:multiLevelType w:val="hybridMultilevel"/>
    <w:tmpl w:val="8C46E90A"/>
    <w:lvl w:ilvl="0" w:tplc="CA1ACA9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04445B"/>
    <w:multiLevelType w:val="hybridMultilevel"/>
    <w:tmpl w:val="28FC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13E80"/>
    <w:multiLevelType w:val="hybridMultilevel"/>
    <w:tmpl w:val="BEE29B1A"/>
    <w:lvl w:ilvl="0" w:tplc="E0EAFE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5E"/>
    <w:rsid w:val="00095F34"/>
    <w:rsid w:val="000B5E48"/>
    <w:rsid w:val="00140340"/>
    <w:rsid w:val="00144157"/>
    <w:rsid w:val="00147A8A"/>
    <w:rsid w:val="001D579C"/>
    <w:rsid w:val="001F39A3"/>
    <w:rsid w:val="00232017"/>
    <w:rsid w:val="002402A4"/>
    <w:rsid w:val="002819F4"/>
    <w:rsid w:val="00390C2F"/>
    <w:rsid w:val="003B75B6"/>
    <w:rsid w:val="003C2D58"/>
    <w:rsid w:val="003E38CE"/>
    <w:rsid w:val="004A4AA9"/>
    <w:rsid w:val="004C7FC7"/>
    <w:rsid w:val="00507AB1"/>
    <w:rsid w:val="005465A5"/>
    <w:rsid w:val="005516D7"/>
    <w:rsid w:val="005C6FF2"/>
    <w:rsid w:val="00631D57"/>
    <w:rsid w:val="006A27CB"/>
    <w:rsid w:val="00702804"/>
    <w:rsid w:val="00784EA3"/>
    <w:rsid w:val="007F27DC"/>
    <w:rsid w:val="00925721"/>
    <w:rsid w:val="00947A11"/>
    <w:rsid w:val="009A6B11"/>
    <w:rsid w:val="00A0215C"/>
    <w:rsid w:val="00A17ED5"/>
    <w:rsid w:val="00A41278"/>
    <w:rsid w:val="00AF3456"/>
    <w:rsid w:val="00B440B5"/>
    <w:rsid w:val="00B54A5E"/>
    <w:rsid w:val="00B7756F"/>
    <w:rsid w:val="00B86800"/>
    <w:rsid w:val="00BA54EC"/>
    <w:rsid w:val="00BF1593"/>
    <w:rsid w:val="00C61F1F"/>
    <w:rsid w:val="00E52758"/>
    <w:rsid w:val="00F20D65"/>
    <w:rsid w:val="00F4425C"/>
    <w:rsid w:val="00FE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ADB10-1B41-407B-8E7B-BD96AC60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017"/>
    <w:pPr>
      <w:spacing w:after="0" w:line="240" w:lineRule="auto"/>
    </w:pPr>
  </w:style>
  <w:style w:type="paragraph" w:styleId="Header">
    <w:name w:val="header"/>
    <w:basedOn w:val="Normal"/>
    <w:link w:val="HeaderChar"/>
    <w:uiPriority w:val="99"/>
    <w:unhideWhenUsed/>
    <w:rsid w:val="00F4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25C"/>
  </w:style>
  <w:style w:type="paragraph" w:styleId="Footer">
    <w:name w:val="footer"/>
    <w:basedOn w:val="Normal"/>
    <w:link w:val="FooterChar"/>
    <w:uiPriority w:val="99"/>
    <w:unhideWhenUsed/>
    <w:rsid w:val="00F4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25C"/>
  </w:style>
  <w:style w:type="paragraph" w:styleId="BalloonText">
    <w:name w:val="Balloon Text"/>
    <w:basedOn w:val="Normal"/>
    <w:link w:val="BalloonTextChar"/>
    <w:uiPriority w:val="99"/>
    <w:semiHidden/>
    <w:unhideWhenUsed/>
    <w:rsid w:val="00AF3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72WVDYXX2UNK-1478731376-45</_dlc_DocId>
    <_dlc_DocIdUrl xmlns="30355ef0-b855-4ebb-a92a-a6c79f7573fd">
      <Url>https://update.calstate.edu/csu-system/board-of-trustees/_layouts/15/DocIdRedir.aspx?ID=72WVDYXX2UNK-1478731376-45</Url>
      <Description>72WVDYXX2UNK-1478731376-45</Description>
    </_dlc_DocIdUrl>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892EF-703F-471F-BD90-68107CCFB42E}"/>
</file>

<file path=customXml/itemProps2.xml><?xml version="1.0" encoding="utf-8"?>
<ds:datastoreItem xmlns:ds="http://schemas.openxmlformats.org/officeDocument/2006/customXml" ds:itemID="{5DAF24D9-AFC9-47AB-99A9-225E20257181}"/>
</file>

<file path=customXml/itemProps3.xml><?xml version="1.0" encoding="utf-8"?>
<ds:datastoreItem xmlns:ds="http://schemas.openxmlformats.org/officeDocument/2006/customXml" ds:itemID="{B09C091C-BC1A-4F8D-92E4-F8B41FEABB03}"/>
</file>

<file path=customXml/itemProps4.xml><?xml version="1.0" encoding="utf-8"?>
<ds:datastoreItem xmlns:ds="http://schemas.openxmlformats.org/officeDocument/2006/customXml" ds:itemID="{F4ACBA3E-76F3-43A8-8EF0-66E633091F2A}"/>
</file>

<file path=customXml/itemProps5.xml><?xml version="1.0" encoding="utf-8"?>
<ds:datastoreItem xmlns:ds="http://schemas.openxmlformats.org/officeDocument/2006/customXml" ds:itemID="{C434F3A8-B11D-4DFD-A620-C79CB1BD08D5}"/>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Andrews</dc:creator>
  <cp:lastModifiedBy>Murillo, Ray</cp:lastModifiedBy>
  <cp:revision>6</cp:revision>
  <cp:lastPrinted>2015-12-10T19:54:00Z</cp:lastPrinted>
  <dcterms:created xsi:type="dcterms:W3CDTF">2018-01-19T00:31:00Z</dcterms:created>
  <dcterms:modified xsi:type="dcterms:W3CDTF">2018-01-19T01:19:00Z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2010-03-03T00:00:00Z</vt:filetime>
  </property>
  <property fmtid="{D5CDD505-2E9C-101B-9397-08002B2CF9AE}" pid="3" name="LastSaved">
    <vt:filetime>2015-09-04T00:00:00Z</vt:filetime>
  </property>
  <property fmtid="{D5CDD505-2E9C-101B-9397-08002B2CF9AE}" pid="4" name="ContentTypeId">
    <vt:lpwstr>0x0101006B4CE8E9565F9B4A9CBDF2B0C151C17F</vt:lpwstr>
  </property>
  <property fmtid="{D5CDD505-2E9C-101B-9397-08002B2CF9AE}" pid="5" name="_dlc_DocIdItemGuid">
    <vt:lpwstr>5086c9ed-f01b-4944-bd17-c17472f656d7</vt:lpwstr>
  </property>
</Properties>
</file>